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5BD875-4B12-42F3-AC67-879E3D2F9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58B258-D0C0-41F2-B6AF-90CB5A765B0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8AC01F-08C9-417D-AFEC-F382DD76E0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44DB3A-A016-4BA9-9387-B2ADAB9DC6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6CC5AC-DDEC-424E-8D55-255EC8BD526A}"/>
  </w:font>
  <w:font w:name="思源黑体 CN Heavy">
    <w:panose1 w:val="020B0A00000000000000"/>
    <w:charset w:val="86"/>
    <w:family w:val="swiss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BDC279-01DF-4591-8E0B-AFA9D22448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F686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F686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42350E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B387F73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E3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2</Pages>
  <Words>3795</Words>
  <Characters>3929</Characters>
  <Lines>3</Lines>
  <Paragraphs>1</Paragraphs>
  <TotalTime>1065</TotalTime>
  <ScaleCrop>false</ScaleCrop>
  <LinksUpToDate>false</LinksUpToDate>
  <CharactersWithSpaces>4383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ChLoe</cp:lastModifiedBy>
  <cp:lastPrinted>2025-12-10T09:21:00Z</cp:lastPrinted>
  <dcterms:modified xsi:type="dcterms:W3CDTF">2025-12-23T03:25:05Z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72809D3E0E8A4CAA9F71D8F1BEEA5FDB_13</vt:lpwstr>
  </property>
  <property fmtid="{D5CDD505-2E9C-101B-9397-08002B2CF9AE}" pid="4" name="KSOTemplateDocerSaveRecord">
    <vt:lpwstr>eyJoZGlkIjoiODFlNDZlZjFhYTkxZmQ3YWQ1ZTExMDRlNzg3N2IyMTIiLCJ1c2VySWQiOiI0MzMwMDM3MjMifQ==</vt:lpwstr>
  </property>
</Properties>
</file>